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32" w:rsidRDefault="00901432" w:rsidP="00901432">
      <w:pPr>
        <w:spacing w:line="420" w:lineRule="exact"/>
        <w:rPr>
          <w:rFonts w:ascii="Times New Roman" w:eastAsia="宋体" w:hAnsi="宋体" w:cs="Times New Roman" w:hint="eastAsia"/>
          <w:sz w:val="24"/>
          <w:szCs w:val="24"/>
        </w:rPr>
      </w:pPr>
      <w:bookmarkStart w:id="0" w:name="_GoBack"/>
      <w:bookmarkEnd w:id="0"/>
      <w:r w:rsidRPr="00071A47">
        <w:rPr>
          <w:rFonts w:ascii="宋体" w:hAnsi="宋体" w:hint="eastAsia"/>
          <w:b/>
          <w:color w:val="000000"/>
          <w:sz w:val="24"/>
          <w:szCs w:val="32"/>
        </w:rPr>
        <w:t>（一）课程体系的基本框架说明</w:t>
      </w:r>
    </w:p>
    <w:p w:rsidR="00901432" w:rsidRPr="00901432" w:rsidRDefault="00901432" w:rsidP="00901432">
      <w:pPr>
        <w:spacing w:line="420" w:lineRule="exact"/>
        <w:ind w:firstLineChars="200" w:firstLine="480"/>
        <w:rPr>
          <w:rFonts w:ascii="Calibri" w:eastAsia="宋体" w:hAnsi="宋体" w:cs="Times New Roman"/>
          <w:sz w:val="24"/>
          <w:szCs w:val="24"/>
        </w:rPr>
      </w:pPr>
      <w:r w:rsidRPr="00901432">
        <w:rPr>
          <w:rFonts w:ascii="Times New Roman" w:eastAsia="宋体" w:hAnsi="宋体" w:cs="Times New Roman" w:hint="eastAsia"/>
          <w:sz w:val="24"/>
          <w:szCs w:val="24"/>
        </w:rPr>
        <w:t xml:space="preserve">1. </w:t>
      </w:r>
      <w:r w:rsidRPr="00901432">
        <w:rPr>
          <w:rFonts w:ascii="宋体" w:eastAsia="宋体" w:hAnsi="宋体" w:cs="Times New Roman" w:hint="eastAsia"/>
          <w:sz w:val="24"/>
          <w:szCs w:val="24"/>
        </w:rPr>
        <w:t>设计思路</w:t>
      </w:r>
    </w:p>
    <w:p w:rsidR="00901432" w:rsidRPr="00901432" w:rsidRDefault="00901432" w:rsidP="00901432">
      <w:pPr>
        <w:spacing w:line="42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901432">
        <w:rPr>
          <w:rFonts w:ascii="宋体" w:eastAsia="宋体" w:hAnsi="宋体" w:cs="Times New Roman" w:hint="eastAsia"/>
          <w:sz w:val="24"/>
          <w:szCs w:val="24"/>
        </w:rPr>
        <w:t>本专业核心课程以满足企业岗位需求为前提，在此基础上参照国家职业资格、行业岗位认证资格标准，围绕双方联合开发的专业核心课程构建专业课程体系，使得课程内容与企业生产对接。</w:t>
      </w:r>
      <w:r w:rsidRPr="00901432"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</w:p>
    <w:p w:rsidR="00901432" w:rsidRPr="00901432" w:rsidRDefault="00901432" w:rsidP="00901432">
      <w:pPr>
        <w:spacing w:line="320" w:lineRule="exact"/>
        <w:ind w:firstLineChars="200" w:firstLine="420"/>
        <w:rPr>
          <w:rFonts w:ascii="Times New Roman" w:eastAsia="宋体" w:hAnsi="宋体" w:cs="Times New Roman"/>
          <w:szCs w:val="24"/>
        </w:rPr>
      </w:pPr>
      <w:r w:rsidRPr="00901432">
        <w:rPr>
          <w:rFonts w:ascii="Times New Roman" w:eastAsia="宋体" w:hAnsi="宋体" w:cs="Times New Roman"/>
          <w:szCs w:val="24"/>
        </w:rPr>
        <w:t xml:space="preserve"> </w:t>
      </w:r>
    </w:p>
    <w:p w:rsidR="00901432" w:rsidRPr="00901432" w:rsidRDefault="00901432" w:rsidP="0090143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72000" cy="2095500"/>
            <wp:effectExtent l="0" t="0" r="0" b="0"/>
            <wp:docPr id="2" name="图片 2" descr="C:\Users\wh\AppData\Roaming\Tencent\Users\838425000\QQ\WinTemp\RichOle\{8(57VIKCK6}_F8W]S)3D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wh\AppData\Roaming\Tencent\Users\838425000\QQ\WinTemp\RichOle\{8(57VIKCK6}_F8W]S)3DF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432" w:rsidRPr="00901432" w:rsidRDefault="00901432" w:rsidP="00901432">
      <w:pPr>
        <w:spacing w:line="320" w:lineRule="exact"/>
        <w:ind w:firstLineChars="200" w:firstLine="420"/>
        <w:rPr>
          <w:rFonts w:ascii="Times New Roman" w:eastAsia="宋体" w:hAnsi="宋体" w:cs="Times New Roman"/>
          <w:sz w:val="24"/>
          <w:szCs w:val="24"/>
        </w:rPr>
      </w:pPr>
      <w:r w:rsidRPr="00901432">
        <w:rPr>
          <w:rFonts w:ascii="Times New Roman" w:eastAsia="宋体" w:hAnsi="宋体" w:cs="Times New Roman"/>
          <w:szCs w:val="24"/>
        </w:rPr>
        <w:br w:type="page"/>
      </w:r>
      <w:r w:rsidRPr="00901432">
        <w:rPr>
          <w:rFonts w:ascii="Times New Roman" w:eastAsia="宋体" w:hAnsi="宋体" w:cs="Times New Roman"/>
          <w:szCs w:val="24"/>
        </w:rPr>
        <w:lastRenderedPageBreak/>
        <w:t xml:space="preserve"> </w:t>
      </w:r>
      <w:r w:rsidRPr="00901432">
        <w:rPr>
          <w:rFonts w:ascii="Times New Roman" w:eastAsia="宋体" w:hAnsi="宋体" w:cs="Times New Roman" w:hint="eastAsia"/>
          <w:sz w:val="24"/>
          <w:szCs w:val="24"/>
        </w:rPr>
        <w:t>2.</w:t>
      </w:r>
      <w:r w:rsidRPr="00901432">
        <w:rPr>
          <w:rFonts w:ascii="宋体" w:eastAsia="宋体" w:hAnsi="宋体" w:cs="Times New Roman" w:hint="eastAsia"/>
          <w:sz w:val="24"/>
          <w:szCs w:val="24"/>
        </w:rPr>
        <w:t>工作岗位分析</w:t>
      </w: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1240"/>
        <w:gridCol w:w="1248"/>
        <w:gridCol w:w="2352"/>
        <w:gridCol w:w="3498"/>
      </w:tblGrid>
      <w:tr w:rsidR="00901432" w:rsidRPr="00901432" w:rsidTr="00901432">
        <w:trPr>
          <w:jc w:val="center"/>
        </w:trPr>
        <w:tc>
          <w:tcPr>
            <w:tcW w:w="1240" w:type="dxa"/>
            <w:shd w:val="clear" w:color="auto" w:fill="FFFFFF"/>
          </w:tcPr>
          <w:p w:rsidR="00901432" w:rsidRPr="00901432" w:rsidRDefault="00901432" w:rsidP="00901432">
            <w:pPr>
              <w:widowControl/>
              <w:ind w:rightChars="-17" w:right="-36"/>
              <w:jc w:val="center"/>
              <w:rPr>
                <w:rFonts w:ascii="宋体" w:eastAsia="宋体" w:hAnsi="Calibri" w:cs="Times New Roman"/>
                <w:b/>
                <w:bCs/>
                <w:kern w:val="0"/>
                <w:szCs w:val="21"/>
              </w:rPr>
            </w:pPr>
            <w:r w:rsidRPr="00901432">
              <w:rPr>
                <w:rFonts w:ascii="宋体" w:eastAsia="宋体" w:hAnsi="Times New Roman" w:cs="Times New Roman" w:hint="eastAsia"/>
                <w:b/>
                <w:bCs/>
                <w:kern w:val="0"/>
                <w:szCs w:val="24"/>
              </w:rPr>
              <w:t>工作岗位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ind w:rightChars="-17" w:right="-36"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  <w:r w:rsidRPr="00901432">
              <w:rPr>
                <w:rFonts w:ascii="宋体" w:eastAsia="宋体" w:hAnsi="Times New Roman" w:cs="Times New Roman" w:hint="eastAsia"/>
                <w:b/>
                <w:bCs/>
                <w:kern w:val="0"/>
                <w:szCs w:val="24"/>
              </w:rPr>
              <w:t>工作领域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  <w:r w:rsidRPr="00901432">
              <w:rPr>
                <w:rFonts w:ascii="宋体" w:eastAsia="宋体" w:hAnsi="Times New Roman" w:cs="Times New Roman" w:hint="eastAsia"/>
                <w:b/>
                <w:bCs/>
                <w:kern w:val="0"/>
                <w:szCs w:val="24"/>
              </w:rPr>
              <w:t>工作任务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jc w:val="center"/>
              <w:rPr>
                <w:rFonts w:ascii="宋体" w:eastAsia="宋体" w:hAnsi="Calibri" w:cs="Times New Roman"/>
                <w:kern w:val="0"/>
                <w:szCs w:val="21"/>
              </w:rPr>
            </w:pPr>
            <w:r w:rsidRPr="00901432">
              <w:rPr>
                <w:rFonts w:ascii="宋体" w:eastAsia="宋体" w:hAnsi="Times New Roman" w:cs="Times New Roman" w:hint="eastAsia"/>
                <w:b/>
                <w:bCs/>
                <w:kern w:val="0"/>
                <w:szCs w:val="24"/>
              </w:rPr>
              <w:t>职业能力要求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 w:val="restart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通信工程勘测、施工岗位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移动网勘察与规划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移动网络基站站点、工程勘察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通信管道、线路工程勘察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相关工程图纸绘制</w:t>
            </w:r>
          </w:p>
        </w:tc>
        <w:tc>
          <w:tcPr>
            <w:tcW w:w="3498" w:type="dxa"/>
            <w:shd w:val="clear" w:color="auto" w:fill="FFFFFF"/>
          </w:tcPr>
          <w:p w:rsidR="00901432" w:rsidRPr="00901432" w:rsidRDefault="00901432" w:rsidP="00901432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移动网络基站站点、工程勘察</w:t>
            </w:r>
          </w:p>
          <w:p w:rsidR="00901432" w:rsidRPr="00901432" w:rsidRDefault="00901432" w:rsidP="00901432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移动网络容量规划、优化</w:t>
            </w:r>
          </w:p>
          <w:p w:rsidR="00901432" w:rsidRPr="00901432" w:rsidRDefault="00901432" w:rsidP="00901432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移动网勘察数据采集</w:t>
            </w:r>
          </w:p>
          <w:p w:rsidR="00901432" w:rsidRPr="00901432" w:rsidRDefault="00901432" w:rsidP="00901432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链路预算</w:t>
            </w:r>
          </w:p>
          <w:p w:rsidR="00901432" w:rsidRPr="00901432" w:rsidRDefault="00901432" w:rsidP="00901432">
            <w:pPr>
              <w:widowControl/>
              <w:spacing w:line="320" w:lineRule="exac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能使用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Auto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CAD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软件绘制工程图纸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光缆线路工程施工</w:t>
            </w:r>
          </w:p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光缆线路测试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移动网络容量规划、优化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光缆等布线的选型、配盘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通信线路敷设、接续、测试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光缆等布线的选型、配盘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光缆敷设、接续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光缆的测试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光器件使用及性能参数测试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光端机使用与测试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光传输链路整体建立与测试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工程项目管理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通信工程文件编制、管理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通信工程施工监理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项目工艺文件编制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工艺文件管理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工程进度控制与管理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工程质量管理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项目验收及交接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 w:val="restart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通信设备安装维护岗位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交换系统硬件安装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、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软件数据配置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及维护管理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路由配置、优化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移动网络容量规划、优化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交换机、基站等硬件安装、调试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通信协议、操作系统等软件安装、调试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交换设备日常维护管理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能进行简单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交换系统工程设计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路由配置、优化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操作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交换机模块、机架的安装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交换机机框、单板的配置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交换机硬件的连接与调试</w:t>
            </w:r>
          </w:p>
          <w:p w:rsidR="00901432" w:rsidRPr="00901432" w:rsidRDefault="00901432" w:rsidP="00901432">
            <w:pPr>
              <w:widowControl/>
              <w:spacing w:line="28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能进行交换机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运行状态监控</w:t>
            </w:r>
          </w:p>
          <w:p w:rsidR="00901432" w:rsidRPr="00901432" w:rsidRDefault="00901432" w:rsidP="00901432">
            <w:pPr>
              <w:widowControl/>
              <w:spacing w:line="280" w:lineRule="exac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能完成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交换机开局</w:t>
            </w:r>
          </w:p>
          <w:p w:rsidR="00901432" w:rsidRPr="00901432" w:rsidRDefault="00901432" w:rsidP="00901432">
            <w:pPr>
              <w:widowControl/>
              <w:spacing w:line="28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交换局数据、用户数据配置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能进行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中继数据配置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通信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网硬件安装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基站、天馈线等移动网络硬件安装、调试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基站安装与调试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天馈线安装与调试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RNC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硬件安装与调试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 xml:space="preserve">Node B 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设备配置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配置设备单板及连线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 w:val="restart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通信网络优化岗位</w:t>
            </w:r>
          </w:p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通信</w:t>
            </w:r>
            <w:proofErr w:type="gramStart"/>
            <w:r w:rsidRPr="00901432">
              <w:rPr>
                <w:rFonts w:ascii="Arial" w:eastAsia="宋体" w:hAnsi="Arial" w:cs="Arial"/>
                <w:kern w:val="0"/>
                <w:szCs w:val="24"/>
              </w:rPr>
              <w:t>网软件</w:t>
            </w:r>
            <w:proofErr w:type="gramEnd"/>
            <w:r w:rsidRPr="00901432">
              <w:rPr>
                <w:rFonts w:ascii="Arial" w:eastAsia="宋体" w:hAnsi="Arial" w:cs="Arial"/>
                <w:kern w:val="0"/>
                <w:szCs w:val="24"/>
              </w:rPr>
              <w:t>数据配置</w:t>
            </w: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及优化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网开局和数据配置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系统设备连接调试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移动业务开通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计费数据配置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信令跟踪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GSM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移动</w:t>
            </w:r>
            <w:proofErr w:type="gramStart"/>
            <w:r w:rsidRPr="00901432">
              <w:rPr>
                <w:rFonts w:ascii="Arial" w:eastAsia="宋体" w:hAnsi="Arial" w:cs="Arial"/>
                <w:kern w:val="0"/>
                <w:szCs w:val="24"/>
              </w:rPr>
              <w:t>网标准</w:t>
            </w:r>
            <w:proofErr w:type="gramEnd"/>
            <w:r w:rsidRPr="00901432">
              <w:rPr>
                <w:rFonts w:ascii="Arial" w:eastAsia="宋体" w:hAnsi="Arial" w:cs="Arial"/>
                <w:kern w:val="0"/>
                <w:szCs w:val="24"/>
              </w:rPr>
              <w:t>及实施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TD-SCDMA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移动</w:t>
            </w:r>
            <w:proofErr w:type="gramStart"/>
            <w:r w:rsidRPr="00901432">
              <w:rPr>
                <w:rFonts w:ascii="宋体" w:eastAsia="宋体" w:hAnsi="宋体" w:cs="Arial"/>
                <w:kern w:val="0"/>
                <w:szCs w:val="24"/>
              </w:rPr>
              <w:t>网标准</w:t>
            </w:r>
            <w:proofErr w:type="gramEnd"/>
            <w:r w:rsidRPr="00901432">
              <w:rPr>
                <w:rFonts w:ascii="宋体" w:eastAsia="宋体" w:hAnsi="宋体" w:cs="Arial"/>
                <w:kern w:val="0"/>
                <w:szCs w:val="24"/>
              </w:rPr>
              <w:t>及实施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WCDMA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移动</w:t>
            </w:r>
            <w:proofErr w:type="gramStart"/>
            <w:r w:rsidRPr="00901432">
              <w:rPr>
                <w:rFonts w:ascii="宋体" w:eastAsia="宋体" w:hAnsi="宋体" w:cs="Arial"/>
                <w:kern w:val="0"/>
                <w:szCs w:val="24"/>
              </w:rPr>
              <w:t>网标准</w:t>
            </w:r>
            <w:proofErr w:type="gramEnd"/>
            <w:r w:rsidRPr="00901432">
              <w:rPr>
                <w:rFonts w:ascii="宋体" w:eastAsia="宋体" w:hAnsi="宋体" w:cs="Arial"/>
                <w:kern w:val="0"/>
                <w:szCs w:val="24"/>
              </w:rPr>
              <w:t>及实施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CDMA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-2000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移动</w:t>
            </w:r>
            <w:proofErr w:type="gramStart"/>
            <w:r w:rsidRPr="00901432">
              <w:rPr>
                <w:rFonts w:ascii="宋体" w:eastAsia="宋体" w:hAnsi="宋体" w:cs="Arial"/>
                <w:kern w:val="0"/>
                <w:szCs w:val="24"/>
              </w:rPr>
              <w:t>网标准</w:t>
            </w:r>
            <w:proofErr w:type="gramEnd"/>
            <w:r w:rsidRPr="00901432">
              <w:rPr>
                <w:rFonts w:ascii="宋体" w:eastAsia="宋体" w:hAnsi="宋体" w:cs="Arial"/>
                <w:kern w:val="0"/>
                <w:szCs w:val="24"/>
              </w:rPr>
              <w:t>及实施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移动通信</w:t>
            </w:r>
            <w:proofErr w:type="gramStart"/>
            <w:r w:rsidRPr="00901432">
              <w:rPr>
                <w:rFonts w:ascii="Arial" w:eastAsia="宋体" w:hAnsi="Arial" w:cs="Arial"/>
                <w:kern w:val="0"/>
                <w:szCs w:val="24"/>
              </w:rPr>
              <w:t>网运维管理</w:t>
            </w:r>
            <w:proofErr w:type="gramEnd"/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基站、天馈线移动网络设备日常维护管理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传输设备例行维护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网络软件的日常维护管理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lastRenderedPageBreak/>
              <w:t>通信网络硬件改造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通信网络软件升级操作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网络故障诊断、排查、修复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lastRenderedPageBreak/>
              <w:t>基站、天线日常维护管理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移动网络设备日常维护管理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移动网运行日常监控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RNC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、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Node B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常见故障排除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运行软件常见故障处理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lastRenderedPageBreak/>
              <w:t>网络优化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网管维护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网管系统管理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传输网远程管理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光传输设备日常维护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传输网常见故障分析与处理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 w:val="restart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lastRenderedPageBreak/>
              <w:t>移动业务应用与终端维护岗位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通信设备制造及服务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通信设备生产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通信设备集成、调试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通信设备检验</w:t>
            </w:r>
          </w:p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通信设备市场销售</w:t>
            </w:r>
          </w:p>
          <w:p w:rsidR="00901432" w:rsidRPr="00901432" w:rsidRDefault="00901432" w:rsidP="00901432">
            <w:pPr>
              <w:widowControl/>
              <w:spacing w:line="300" w:lineRule="exact"/>
              <w:rPr>
                <w:rFonts w:ascii="Calibri" w:eastAsia="宋体" w:hAnsi="Calibri" w:cs="宋体"/>
                <w:kern w:val="0"/>
                <w:szCs w:val="21"/>
              </w:rPr>
            </w:pPr>
            <w:r w:rsidRPr="00901432">
              <w:rPr>
                <w:rFonts w:ascii="Arial" w:eastAsia="宋体" w:hAnsi="Arial" w:cs="Arial" w:hint="eastAsia"/>
                <w:kern w:val="0"/>
                <w:szCs w:val="24"/>
              </w:rPr>
              <w:t>移动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通信设备售后技术服务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交换机生产、组装、检验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电缆、光缆生产、测试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基站、天线生产、组装、调试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  <w:t>RNC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、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Node B</w:t>
            </w:r>
            <w:r w:rsidRPr="00901432">
              <w:rPr>
                <w:rFonts w:ascii="宋体" w:eastAsia="宋体" w:hAnsi="宋体" w:cs="Arial"/>
                <w:kern w:val="0"/>
                <w:szCs w:val="24"/>
              </w:rPr>
              <w:t>设备生产、组装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通信设备市场销售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通信设备售后技术服务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通信终端产品生产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通信终端产品生产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元器件筛选、测试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产品焊接、贴片操作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产品组装及硬件调试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产品软件下载及测试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4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出厂包装、检验</w:t>
            </w:r>
          </w:p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售前维修</w:t>
            </w:r>
          </w:p>
        </w:tc>
      </w:tr>
      <w:tr w:rsidR="00901432" w:rsidRPr="00901432" w:rsidTr="00901432">
        <w:trPr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901432" w:rsidRPr="00901432" w:rsidRDefault="00901432" w:rsidP="00901432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通信终端产品服务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通信终端产品服务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901432" w:rsidRPr="00901432" w:rsidRDefault="00901432" w:rsidP="00901432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1432">
              <w:rPr>
                <w:rFonts w:ascii="Arial" w:eastAsia="宋体" w:hAnsi="Arial" w:cs="Arial"/>
                <w:kern w:val="0"/>
                <w:szCs w:val="24"/>
              </w:rPr>
              <w:t>产品销售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售后产品维修</w:t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br/>
            </w:r>
            <w:r w:rsidRPr="00901432">
              <w:rPr>
                <w:rFonts w:ascii="Arial" w:eastAsia="宋体" w:hAnsi="Arial" w:cs="Arial"/>
                <w:kern w:val="0"/>
                <w:szCs w:val="24"/>
              </w:rPr>
              <w:t>售后技术服务</w:t>
            </w:r>
          </w:p>
        </w:tc>
      </w:tr>
    </w:tbl>
    <w:p w:rsidR="000F7294" w:rsidRPr="00901432" w:rsidRDefault="000F7294"/>
    <w:sectPr w:rsidR="000F7294" w:rsidRPr="0090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14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14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14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1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1</cp:revision>
  <dcterms:created xsi:type="dcterms:W3CDTF">2020-06-02T13:08:00Z</dcterms:created>
  <dcterms:modified xsi:type="dcterms:W3CDTF">2020-06-02T13:10:00Z</dcterms:modified>
</cp:coreProperties>
</file>